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Germany Talent Market Research — prepared for Cascadia Cloud Systems (home market: United States)</w:t>
      </w:r>
    </w:p>
    <w:p>
      <w:pPr>
        <w:spacing w:after="200"/>
      </w:pPr>
      <w:r>
        <w:t xml:space="preserve">Named local competitors referenced below: Kessler Technologies, Nordwelle Systems.</w:t>
      </w:r>
    </w:p>
    <w:p>
      <w:pPr>
        <w:pStyle w:val="Heading2"/>
      </w:pPr>
      <w:r>
        <w:t xml:space="preserve">Talent market</w:t>
      </w:r>
    </w:p>
    <w:p>
      <w:pPr>
        <w:spacing w:after="120"/>
      </w:pPr>
      <w:r>
        <w:t xml:space="preserve">• Senior backend and platform engineering talent is in short supply in Berlin and Munich; time-to-fill for comparable roles at local firms averages 9-11 weeks per regional hiring surveys.</w:t>
      </w:r>
    </w:p>
    <w:p>
      <w:pPr>
        <w:spacing w:after="120"/>
      </w:pPr>
      <w:r>
        <w:t xml:space="preserve">• Kessler Technologies and Nordwelle Systems are the two most commonly cited competing employers among candidates interviewed in exit surveys for similar roles.</w:t>
      </w:r>
    </w:p>
    <w:p>
      <w:pPr>
        <w:pStyle w:val="Heading2"/>
      </w:pPr>
      <w:r>
        <w:t xml:space="preserve">Compensation and benefits</w:t>
      </w:r>
    </w:p>
    <w:p>
      <w:pPr>
        <w:spacing w:after="120"/>
      </w:pPr>
      <w:r>
        <w:t xml:space="preserve">• Statutory minimum annual leave is 20 days for a 5-day week; most competitive employers offer 28-30 days as a norm, not a perk.</w:t>
      </w:r>
    </w:p>
    <w:p>
      <w:pPr>
        <w:spacing w:after="120"/>
      </w:pPr>
      <w:r>
        <w:t xml:space="preserve">• Public health insurance is the default and expected; supplementary private health coverage is viewed as a differentiator but not a baseline requirement.</w:t>
      </w:r>
    </w:p>
    <w:p>
      <w:pPr>
        <w:spacing w:after="120"/>
      </w:pPr>
      <w:r>
        <w:t xml:space="preserve">• Base salary transparency within a company (via the works council) is more common and more expected than in the US market.</w:t>
      </w:r>
    </w:p>
    <w:p>
      <w:pPr>
        <w:pStyle w:val="Heading2"/>
      </w:pPr>
      <w:r>
        <w:t xml:space="preserve">Working culture</w:t>
      </w:r>
    </w:p>
    <w:p>
      <w:pPr>
        <w:spacing w:after="120"/>
      </w:pPr>
      <w:r>
        <w:t xml:space="preserve">• Works councils (Betriebsrat) have formal co-determination rights over working conditions at companies above a certain size — this is a structural expectation, not a cultural preference.</w:t>
      </w:r>
    </w:p>
    <w:p>
      <w:pPr>
        <w:spacing w:after="120"/>
      </w:pPr>
      <w:r>
        <w:t xml:space="preserve">• A stricter line between work and personal time is broadly expected; after-hours contact outside genuine emergencies is viewed negatively.</w:t>
      </w:r>
    </w:p>
    <w:p>
      <w:pPr>
        <w:spacing w:after="120"/>
      </w:pPr>
      <w:r>
        <w:t xml:space="preserve">• Hybrid work (2-3 days in office) is more common than fully remote for engineering roles at local competitors, though fully remote postings do exist and get strong response.</w:t>
      </w:r>
    </w:p>
    <w:p>
      <w:pPr>
        <w:pStyle w:val="Heading2"/>
      </w:pPr>
      <w:r>
        <w:t xml:space="preserve">Legal and compliance</w:t>
      </w:r>
    </w:p>
    <w:p>
      <w:pPr>
        <w:spacing w:after="120"/>
      </w:pPr>
      <w:r>
        <w:t xml:space="preserve">• German and EU data protection requirements (GDPR, plus domestic implementing law) are treated as a baseline expectation by candidates, not a selling point — any messaging that treats data privacy as a differentiator undersells local norms.</w:t>
      </w:r>
    </w:p>
    <w:p>
      <w:pPr>
        <w:spacing w:after="120"/>
      </w:pPr>
      <w:r>
        <w:t xml:space="preserve">• Fixed-term contracts face stricter legal limits than at-will employment norms familiar to a US-based hiring team; candidates commonly ask about contract type early in the process.</w:t>
      </w:r>
    </w:p>
    <w:p>
      <w:pPr>
        <w:pStyle w:val="Heading2"/>
      </w:pPr>
      <w:r>
        <w:t xml:space="preserve">Recruiting channels</w:t>
      </w:r>
    </w:p>
    <w:p>
      <w:pPr>
        <w:spacing w:after="120"/>
      </w:pPr>
      <w:r>
        <w:t xml:space="preserve">• LinkedIn and Xing (a Germany/DACH-region professional network) are both commonly used; Xing has meaningfully higher engagement for mid-career engineering candidates than in most other European markets.</w:t>
      </w:r>
    </w:p>
    <w:p>
      <w:pPr>
        <w:spacing w:after="120"/>
      </w:pPr>
      <w:r>
        <w:t xml:space="preserve">• Direct referral and specialist tech recruiters are reported as more trusted than open job-board postings for senior roles.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2026-09-30T07:33:59.594Z</dcterms:created>
  <dcterms:modified xsi:type="dcterms:W3CDTF">2026-09-30T07:33:59.594Z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