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Japan Talent Market Research — prepared for Cascadia Cloud Systems (home market: United States)</w:t>
      </w:r>
    </w:p>
    <w:p>
      <w:pPr>
        <w:spacing w:after="200"/>
      </w:pPr>
      <w:r>
        <w:t xml:space="preserve">Named local competitors referenced below: Sakura Cloud K.K., Meiwa Systems.</w:t>
      </w:r>
    </w:p>
    <w:p>
      <w:pPr>
        <w:pStyle w:val="Heading2"/>
      </w:pPr>
      <w:r>
        <w:t xml:space="preserve">Talent market</w:t>
      </w:r>
    </w:p>
    <w:p>
      <w:pPr>
        <w:spacing w:after="120"/>
      </w:pPr>
      <w:r>
        <w:t xml:space="preserve">• Demand for engineers with strong English-language documentation/communication skills alongside technical ability outstrips supply; candidates with both are typically fielding multiple competing offers.</w:t>
      </w:r>
    </w:p>
    <w:p>
      <w:pPr>
        <w:spacing w:after="120"/>
      </w:pPr>
      <w:r>
        <w:t xml:space="preserve">• Sakura Cloud K.K. and Meiwa Systems are named most frequently as reference employers by candidates benchmarking compensation and career-path expectations.</w:t>
      </w:r>
    </w:p>
    <w:p>
      <w:pPr>
        <w:pStyle w:val="Heading2"/>
      </w:pPr>
      <w:r>
        <w:t xml:space="preserve">Compensation and benefits</w:t>
      </w:r>
    </w:p>
    <w:p>
      <w:pPr>
        <w:spacing w:after="120"/>
      </w:pPr>
      <w:r>
        <w:t xml:space="preserve">• Bi-annual bonus payments (typically summer and winter) are a standard and expected part of total compensation structure at most competing employers, not a discretionary add-on.</w:t>
      </w:r>
    </w:p>
    <w:p>
      <w:pPr>
        <w:spacing w:after="120"/>
      </w:pPr>
      <w:r>
        <w:t xml:space="preserve">• Long-term employer commitment remains a meaningfully weighted factor for mid-career and senior candidates, more so than in the US market — tenure signals stability to a candidate's own network.</w:t>
      </w:r>
    </w:p>
    <w:p>
      <w:pPr>
        <w:pStyle w:val="Heading2"/>
      </w:pPr>
      <w:r>
        <w:t xml:space="preserve">Working culture</w:t>
      </w:r>
    </w:p>
    <w:p>
      <w:pPr>
        <w:spacing w:after="120"/>
      </w:pPr>
      <w:r>
        <w:t xml:space="preserve">• Seniority- and tenure-based progression expectations remain stronger than in the US market, even at technology-sector employers that otherwise present as Western in style.</w:t>
      </w:r>
    </w:p>
    <w:p>
      <w:pPr>
        <w:spacing w:after="120"/>
      </w:pPr>
      <w:r>
        <w:t xml:space="preserve">• Consensus-based decision-making (often described locally as nemawashi — informal groundwork/alignment before a formal decision) is a common norm; a "move fast, decide alone" framing can read as disrespectful of process rather than as a strength.</w:t>
      </w:r>
    </w:p>
    <w:p>
      <w:pPr>
        <w:spacing w:after="120"/>
      </w:pPr>
      <w:r>
        <w:t xml:space="preserve">• Fully remote-only roles remain less common among local competitors than hybrid arrangements, though this is shifting post-pandemic, particularly for candidates under 35.</w:t>
      </w:r>
    </w:p>
    <w:p>
      <w:pPr>
        <w:pStyle w:val="Heading2"/>
      </w:pPr>
      <w:r>
        <w:t xml:space="preserve">Legal and compliance</w:t>
      </w:r>
    </w:p>
    <w:p>
      <w:pPr>
        <w:spacing w:after="120"/>
      </w:pPr>
      <w:r>
        <w:t xml:space="preserve">• Employment protections make termination meaningfully more difficult than at-will markets; candidates evaluating a move from a large, stable local employer weigh this heavily.</w:t>
      </w:r>
    </w:p>
    <w:p>
      <w:pPr>
        <w:spacing w:after="120"/>
      </w:pPr>
      <w:r>
        <w:t xml:space="preserve">• Visa sponsorship processes and timelines are a common early question from candidates outside Japan; unclear sponsorship messaging is reported as a common reason candidates drop out of process.</w:t>
      </w:r>
    </w:p>
    <w:p>
      <w:pPr>
        <w:pStyle w:val="Heading2"/>
      </w:pPr>
      <w:r>
        <w:t xml:space="preserve">Recruiting channels</w:t>
      </w:r>
    </w:p>
    <w:p>
      <w:pPr>
        <w:spacing w:after="120"/>
      </w:pPr>
      <w:r>
        <w:t xml:space="preserve">• Specialist bilingual recruiting agencies are the dominant channel for mid-to-senior technical roles, more so than direct job-board applications.</w:t>
      </w:r>
    </w:p>
    <w:p>
      <w:pPr>
        <w:spacing w:after="120"/>
      </w:pPr>
      <w:r>
        <w:t xml:space="preserve">• Employer reputation on Japanese-language review platforms carries more weight with local candidates than English-language employer review sites.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2026-09-30T07:33:59.603Z</dcterms:created>
  <dcterms:modified xsi:type="dcterms:W3CDTF">2026-09-30T07:33:59.603Z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