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FY2027 Property Operations Hiring Strategy</w:t>
      </w:r>
    </w:p>
    <w:p>
      <w:pPr>
        <w:spacing w:after="200"/>
      </w:pPr>
      <w:r>
        <w:t xml:space="preserve">Northbridge Hotels &amp; Resorts plans to grow property-level headcount by 8% in FY2027 to support the opening of two new properties in Orlando and Miami.</w:t>
      </w:r>
    </w:p>
    <w:p>
      <w:pPr>
        <w:spacing w:after="200"/>
      </w:pPr>
      <w:r>
        <w:t xml:space="preserve">Guest Services and Food &amp; Beverage account for the largest share of planned hires, reflecting both new-property ramp-up and seasonal peak staffing for the FY2027 summer season.</w:t>
      </w:r>
    </w:p>
    <w:p>
      <w:pPr>
        <w:spacing w:after="200"/>
      </w:pPr>
      <w:r>
        <w:t xml:space="preserve">Revenue Management is being centralised into a remote team for FY2027, reducing the need for a dedicated on-property analyst at every location and freeing budget for guest-facing roles.</w:t>
      </w:r>
    </w:p>
    <w:p>
      <w:pPr>
        <w:spacing w:after="200"/>
      </w:pPr>
      <w:r>
        <w:t xml:space="preserve">Exit interview data shows front-line hospitality staff most frequently cite "shift predictability" and "career progression into management" as reasons for leaving, ahead of base pay, which is informing this year's retention-focused scheduling pilot.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2026-09-30T07:33:58.687Z</dcterms:created>
  <dcterms:modified xsi:type="dcterms:W3CDTF">2026-09-30T07:33:58.687Z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