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FY2027 Commercial Hiring Strategy</w:t>
      </w:r>
    </w:p>
    <w:p>
      <w:pPr>
        <w:spacing w:after="200"/>
      </w:pPr>
      <w:r>
        <w:t xml:space="preserve">Fenwick Retail Group plans to grow its commercial and store-operations headcount by 12% in FY2027, concentrated in the North West and London regions where new store openings are planned.</w:t>
      </w:r>
    </w:p>
    <w:p>
      <w:pPr>
        <w:spacing w:after="200"/>
      </w:pPr>
      <w:r>
        <w:t xml:space="preserve">Priority is being given to Key Account and Trade Marketing roles, reflecting a strategic push into supplier co-funded promotional campaigns following strong FY2026 like-for-like sales growth.</w:t>
      </w:r>
    </w:p>
    <w:p>
      <w:pPr>
        <w:spacing w:after="200"/>
      </w:pPr>
      <w:r>
        <w:t xml:space="preserve">The talent pool for retail commercial roles is highly mobile between Fenwick, Alderton Foods and Bramwell Grocers; retention initiatives this year focus on faster progression paths from Store Sales Associate into Commercial track roles.</w:t>
      </w:r>
    </w:p>
    <w:p>
      <w:pPr>
        <w:spacing w:after="200"/>
      </w:pPr>
      <w:r>
        <w:t xml:space="preserve">E-commerce Sales Analyst is a newly created role for FY2027, reflecting the continued shift of basket volume toward the online store relative to Continental Mart’s slower digital rollout.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2026-09-30T07:33:58.624Z</dcterms:created>
  <dcterms:modified xsi:type="dcterms:W3CDTF">2026-09-30T07:33:58.624Z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