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FY2027 Engineering Hiring Strategy</w:t>
      </w:r>
    </w:p>
    <w:p>
      <w:pPr>
        <w:spacing w:after="200"/>
      </w:pPr>
      <w:r>
        <w:t xml:space="preserve">Cascadia Cloud Systems plans to grow engineering headcount by 20% in FY2027, with the largest single increase in Platform Engineering to support the new multi-region rollout.</w:t>
      </w:r>
    </w:p>
    <w:p>
      <w:pPr>
        <w:spacing w:after="200"/>
      </w:pPr>
      <w:r>
        <w:t xml:space="preserve">Remote hiring will account for over half of new engineering headcount this year, widening the candidate pool beyond the Austin and Seattle offices in response to increasingly remote-first competition from Vantage Cloud.</w:t>
      </w:r>
    </w:p>
    <w:p>
      <w:pPr>
        <w:spacing w:after="200"/>
      </w:pPr>
      <w:r>
        <w:t xml:space="preserve">Applied ML is a new department for FY2027; the first Machine Learning Engineer hires will report directly into the VP of Engineering while the team is established.</w:t>
      </w:r>
    </w:p>
    <w:p>
      <w:pPr>
        <w:spacing w:after="200"/>
      </w:pPr>
      <w:r>
        <w:t xml:space="preserve">Retention data shows engineers most commonly cite "technical challenge" and "on-call load" as reasons for leaving; the SRE hiring plan is partly aimed at reducing on-call burden on product engineering teams.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2026-09-30T07:33:58.656Z</dcterms:created>
  <dcterms:modified xsi:type="dcterms:W3CDTF">2026-09-30T07:33:58.656Z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